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Microsoft YaHei" w:hAnsi="Microsoft YaHei"/>
          <w:b/>
          <w:color w:val="18355E"/>
          <w:sz w:val="36"/>
        </w:rPr>
        <w:t>第03讲 一校一策：没有食堂的学校怎么补课</w:t>
      </w:r>
    </w:p>
    <w:p>
      <w:pPr>
        <w:jc w:val="center"/>
      </w:pPr>
      <w:r>
        <w:rPr>
          <w:rFonts w:ascii="Microsoft YaHei" w:hAnsi="Microsoft YaHei"/>
          <w:color w:val="687381"/>
          <w:sz w:val="19"/>
        </w:rPr>
        <w:t>课程：校长餐责：中小学校园餐治理能力提升课    角色：陈校长 × 赵老师    目标：安全、营养、合规</w:t>
      </w:r>
    </w:p>
    <w:p/>
    <w:p>
      <w:pPr>
        <w:pStyle w:val="Heading1"/>
      </w:pPr>
      <w:r>
        <w:rPr>
          <w:rFonts w:ascii="Microsoft YaHei" w:hAnsi="Microsoft YaHei"/>
        </w:rPr>
        <w:t>本讲定位</w:t>
      </w:r>
    </w:p>
    <w:p>
      <w:pPr>
        <w:pStyle w:val="ListBullet"/>
        <w:ind w:left="360"/>
      </w:pPr>
      <w:r>
        <w:t>没有完整食堂，学校怎么选路径和过渡？</w:t>
      </w:r>
    </w:p>
    <w:p>
      <w:pPr>
        <w:pStyle w:val="ListBullet"/>
        <w:ind w:left="360"/>
      </w:pPr>
      <w:r>
        <w:t>只讲供餐路径选择和过渡风险，不讲新型自营合同边界。</w:t>
      </w:r>
    </w:p>
    <w:p>
      <w:pPr>
        <w:pStyle w:val="ListBullet"/>
        <w:ind w:left="360"/>
      </w:pPr>
      <w:r>
        <w:t>工具：一校一策路径评估表</w:t>
      </w:r>
    </w:p>
    <w:p>
      <w:pPr>
        <w:pStyle w:val="ListBullet"/>
        <w:ind w:left="360"/>
      </w:pPr>
      <w:r>
        <w:t>核心模型：现状诊断 -&gt; 路径选择 -&gt; 过渡管理 -&gt; 建设台账</w:t>
      </w:r>
    </w:p>
    <w:p>
      <w:pPr>
        <w:pStyle w:val="Heading1"/>
      </w:pPr>
      <w:r>
        <w:rPr>
          <w:rFonts w:ascii="Microsoft YaHei" w:hAnsi="Microsoft YaHei"/>
        </w:rPr>
        <w:t>页面结构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48"/>
        <w:gridCol w:w="2448"/>
        <w:gridCol w:w="2448"/>
        <w:gridCol w:w="2448"/>
      </w:tblGrid>
      <w:tr>
        <w:tc>
          <w:tcPr>
            <w:tcW w:type="dxa" w:w="792"/>
            <w:vAlign w:val="center"/>
          </w:tcPr>
          <w:p>
            <w:r>
              <w:t>页码</w:t>
            </w:r>
          </w:p>
        </w:tc>
        <w:tc>
          <w:tcPr>
            <w:tcW w:type="dxa" w:w="3240"/>
            <w:vAlign w:val="center"/>
          </w:tcPr>
          <w:p>
            <w:r>
              <w:t>页面题目</w:t>
            </w:r>
          </w:p>
        </w:tc>
        <w:tc>
          <w:tcPr>
            <w:tcW w:type="dxa" w:w="3600"/>
            <w:vAlign w:val="center"/>
          </w:tcPr>
          <w:p>
            <w:r>
              <w:t>画面重点</w:t>
            </w:r>
          </w:p>
        </w:tc>
        <w:tc>
          <w:tcPr>
            <w:tcW w:type="dxa" w:w="3888"/>
            <w:vAlign w:val="center"/>
          </w:tcPr>
          <w:p>
            <w:r>
              <w:t>讲述重点</w:t>
            </w:r>
          </w:p>
        </w:tc>
      </w:tr>
      <w:tr>
        <w:tc>
          <w:tcPr>
            <w:tcW w:type="dxa" w:w="2448"/>
          </w:tcPr>
          <w:p>
            <w:r>
              <w:t>1</w:t>
            </w:r>
          </w:p>
        </w:tc>
        <w:tc>
          <w:tcPr>
            <w:tcW w:type="dxa" w:w="2448"/>
          </w:tcPr>
          <w:p>
            <w:r>
              <w:t>一校一策：没有食堂的学校怎么补课</w:t>
            </w:r>
          </w:p>
        </w:tc>
        <w:tc>
          <w:tcPr>
            <w:tcW w:type="dxa" w:w="2448"/>
          </w:tcPr>
          <w:p>
            <w:r>
              <w:t>标题 + 路径选择</w:t>
            </w:r>
          </w:p>
        </w:tc>
        <w:tc>
          <w:tcPr>
            <w:tcW w:type="dxa" w:w="2448"/>
          </w:tcPr>
          <w:p>
            <w:r>
              <w:t>开场</w:t>
            </w:r>
          </w:p>
        </w:tc>
      </w:tr>
      <w:tr>
        <w:tc>
          <w:tcPr>
            <w:tcW w:type="dxa" w:w="2448"/>
          </w:tcPr>
          <w:p>
            <w:r>
              <w:t>2</w:t>
            </w:r>
          </w:p>
        </w:tc>
        <w:tc>
          <w:tcPr>
            <w:tcW w:type="dxa" w:w="2448"/>
          </w:tcPr>
          <w:p>
            <w:r>
              <w:t>陈校长的现实难题</w:t>
            </w:r>
          </w:p>
        </w:tc>
        <w:tc>
          <w:tcPr>
            <w:tcW w:type="dxa" w:w="2448"/>
          </w:tcPr>
          <w:p>
            <w:r>
              <w:t>空间、工期、学生规模</w:t>
            </w:r>
          </w:p>
        </w:tc>
        <w:tc>
          <w:tcPr>
            <w:tcW w:type="dxa" w:w="2448"/>
          </w:tcPr>
          <w:p>
            <w:r>
              <w:t>问题开场</w:t>
            </w:r>
          </w:p>
        </w:tc>
      </w:tr>
      <w:tr>
        <w:tc>
          <w:tcPr>
            <w:tcW w:type="dxa" w:w="2448"/>
          </w:tcPr>
          <w:p>
            <w:r>
              <w:t>3</w:t>
            </w:r>
          </w:p>
        </w:tc>
        <w:tc>
          <w:tcPr>
            <w:tcW w:type="dxa" w:w="2448"/>
          </w:tcPr>
          <w:p>
            <w:r>
              <w:t>一校一策不是拖延</w:t>
            </w:r>
          </w:p>
        </w:tc>
        <w:tc>
          <w:tcPr>
            <w:tcW w:type="dxa" w:w="2448"/>
          </w:tcPr>
          <w:p>
            <w:r>
              <w:t>路径设计，不是例外豁免</w:t>
            </w:r>
          </w:p>
        </w:tc>
        <w:tc>
          <w:tcPr>
            <w:tcW w:type="dxa" w:w="2448"/>
          </w:tcPr>
          <w:p>
            <w:r>
              <w:t>政策口径</w:t>
            </w:r>
          </w:p>
        </w:tc>
      </w:tr>
      <w:tr>
        <w:tc>
          <w:tcPr>
            <w:tcW w:type="dxa" w:w="2448"/>
          </w:tcPr>
          <w:p>
            <w:r>
              <w:t>4</w:t>
            </w:r>
          </w:p>
        </w:tc>
        <w:tc>
          <w:tcPr>
            <w:tcW w:type="dxa" w:w="2448"/>
          </w:tcPr>
          <w:p>
            <w:r>
              <w:t>四类路径</w:t>
            </w:r>
          </w:p>
        </w:tc>
        <w:tc>
          <w:tcPr>
            <w:tcW w:type="dxa" w:w="2448"/>
          </w:tcPr>
          <w:p>
            <w:r>
              <w:t>新建改造、中央厨房+微厨房、主厨房辐射、净菜+微厨房</w:t>
            </w:r>
          </w:p>
        </w:tc>
        <w:tc>
          <w:tcPr>
            <w:tcW w:type="dxa" w:w="2448"/>
          </w:tcPr>
          <w:p>
            <w:r>
              <w:t>主模型</w:t>
            </w:r>
          </w:p>
        </w:tc>
      </w:tr>
      <w:tr>
        <w:tc>
          <w:tcPr>
            <w:tcW w:type="dxa" w:w="2448"/>
          </w:tcPr>
          <w:p>
            <w:r>
              <w:t>5</w:t>
            </w:r>
          </w:p>
        </w:tc>
        <w:tc>
          <w:tcPr>
            <w:tcW w:type="dxa" w:w="2448"/>
          </w:tcPr>
          <w:p>
            <w:r>
              <w:t>五维评估</w:t>
            </w:r>
          </w:p>
        </w:tc>
        <w:tc>
          <w:tcPr>
            <w:tcW w:type="dxa" w:w="2448"/>
          </w:tcPr>
          <w:p>
            <w:r>
              <w:t>经费、采购、安全、营养、家校沟通</w:t>
            </w:r>
          </w:p>
        </w:tc>
        <w:tc>
          <w:tcPr>
            <w:tcW w:type="dxa" w:w="2448"/>
          </w:tcPr>
          <w:p>
            <w:r>
              <w:t>评估表</w:t>
            </w:r>
          </w:p>
        </w:tc>
      </w:tr>
      <w:tr>
        <w:tc>
          <w:tcPr>
            <w:tcW w:type="dxa" w:w="2448"/>
          </w:tcPr>
          <w:p>
            <w:r>
              <w:t>6</w:t>
            </w:r>
          </w:p>
        </w:tc>
        <w:tc>
          <w:tcPr>
            <w:tcW w:type="dxa" w:w="2448"/>
          </w:tcPr>
          <w:p>
            <w:r>
              <w:t>过渡期三件事不能丢</w:t>
            </w:r>
          </w:p>
        </w:tc>
        <w:tc>
          <w:tcPr>
            <w:tcW w:type="dxa" w:w="2448"/>
          </w:tcPr>
          <w:p>
            <w:r>
              <w:t>学校确认权、现场记录、沟通口径</w:t>
            </w:r>
          </w:p>
        </w:tc>
        <w:tc>
          <w:tcPr>
            <w:tcW w:type="dxa" w:w="2448"/>
          </w:tcPr>
          <w:p>
            <w:r>
              <w:t>风险控制</w:t>
            </w:r>
          </w:p>
        </w:tc>
      </w:tr>
      <w:tr>
        <w:tc>
          <w:tcPr>
            <w:tcW w:type="dxa" w:w="2448"/>
          </w:tcPr>
          <w:p>
            <w:r>
              <w:t>7</w:t>
            </w:r>
          </w:p>
        </w:tc>
        <w:tc>
          <w:tcPr>
            <w:tcW w:type="dxa" w:w="2448"/>
          </w:tcPr>
          <w:p>
            <w:r>
              <w:t>建设推进台账</w:t>
            </w:r>
          </w:p>
        </w:tc>
        <w:tc>
          <w:tcPr>
            <w:tcW w:type="dxa" w:w="2448"/>
          </w:tcPr>
          <w:p>
            <w:r>
              <w:t>节点、责任人、风险、沟通</w:t>
            </w:r>
          </w:p>
        </w:tc>
        <w:tc>
          <w:tcPr>
            <w:tcW w:type="dxa" w:w="2448"/>
          </w:tcPr>
          <w:p>
            <w:r>
              <w:t>执行动作</w:t>
            </w:r>
          </w:p>
        </w:tc>
      </w:tr>
      <w:tr>
        <w:tc>
          <w:tcPr>
            <w:tcW w:type="dxa" w:w="2448"/>
          </w:tcPr>
          <w:p>
            <w:r>
              <w:t>8</w:t>
            </w:r>
          </w:p>
        </w:tc>
        <w:tc>
          <w:tcPr>
            <w:tcW w:type="dxa" w:w="2448"/>
          </w:tcPr>
          <w:p>
            <w:r>
              <w:t>家长怎么沟通</w:t>
            </w:r>
          </w:p>
        </w:tc>
        <w:tc>
          <w:tcPr>
            <w:tcW w:type="dxa" w:w="2448"/>
          </w:tcPr>
          <w:p>
            <w:r>
              <w:t>讲路径、讲风险控制、讲时间表</w:t>
            </w:r>
          </w:p>
        </w:tc>
        <w:tc>
          <w:tcPr>
            <w:tcW w:type="dxa" w:w="2448"/>
          </w:tcPr>
          <w:p>
            <w:r>
              <w:t>家校共治</w:t>
            </w:r>
          </w:p>
        </w:tc>
      </w:tr>
      <w:tr>
        <w:tc>
          <w:tcPr>
            <w:tcW w:type="dxa" w:w="2448"/>
          </w:tcPr>
          <w:p>
            <w:r>
              <w:t>9</w:t>
            </w:r>
          </w:p>
        </w:tc>
        <w:tc>
          <w:tcPr>
            <w:tcW w:type="dxa" w:w="2448"/>
          </w:tcPr>
          <w:p>
            <w:r>
              <w:t>回校先做三件事</w:t>
            </w:r>
          </w:p>
        </w:tc>
        <w:tc>
          <w:tcPr>
            <w:tcW w:type="dxa" w:w="2448"/>
          </w:tcPr>
          <w:p>
            <w:r>
              <w:t>评估表、过渡清单、沟通安排</w:t>
            </w:r>
          </w:p>
        </w:tc>
        <w:tc>
          <w:tcPr>
            <w:tcW w:type="dxa" w:w="2448"/>
          </w:tcPr>
          <w:p>
            <w:r>
              <w:t>行动卡</w:t>
            </w:r>
          </w:p>
        </w:tc>
      </w:tr>
    </w:tbl>
    <w:p>
      <w:pPr>
        <w:pStyle w:val="Heading1"/>
      </w:pPr>
      <w:r>
        <w:rPr>
          <w:rFonts w:ascii="Microsoft YaHei" w:hAnsi="Microsoft YaHei"/>
        </w:rPr>
        <w:t>成片脚本</w:t>
      </w:r>
    </w:p>
    <w:p>
      <w:r>
        <w:rPr>
          <w:rFonts w:ascii="Microsoft YaHei" w:hAnsi="Microsoft YaHei"/>
          <w:b/>
          <w:color w:val="18355E"/>
          <w:sz w:val="23"/>
        </w:rPr>
        <w:t>01. 开场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前两讲我们讲清了两个问题：为什么校园餐成为校长工程，以及校长作为第一责任人到底抓什么。第三讲进入一个非常现实的场景：学校暂时没有完整食堂，或者现有食堂条件不足，怎么办。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这一讲不讨论第三方服务边界，也不讨论合同红线。我们只解决一件事：在自办食堂为主的大方向下，学校如何一校一策地选择供餐路径，并守住过渡期的安全、营养、合规底线。</w:t>
      </w:r>
    </w:p>
    <w:p>
      <w:r>
        <w:rPr>
          <w:rFonts w:ascii="Microsoft YaHei" w:hAnsi="Microsoft YaHei"/>
          <w:b/>
          <w:color w:val="18355E"/>
          <w:sz w:val="23"/>
        </w:rPr>
        <w:t>02. 陈校长的现实难题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赵老师，这个问题很现实。有的学校场地紧张，有的老校区改造难度大，有的学生规模大，有的食堂建设需要时间。政策说学校自办食堂为主，但并不是每所学校明天就能建好标准食堂。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校长最怕两头受压：一边要按改革方向推进，一边又不能让学生供餐断档。那“一校一策”到底怎么理解？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一校一策不是拖延，也不是例外豁免。它的意思是：目标不变，路径因校而异；底线不变，节奏按校设计。</w:t>
      </w:r>
    </w:p>
    <w:p>
      <w:r>
        <w:rPr>
          <w:rFonts w:ascii="Microsoft YaHei" w:hAnsi="Microsoft YaHei"/>
          <w:b/>
          <w:color w:val="18355E"/>
          <w:sz w:val="23"/>
        </w:rPr>
        <w:t>03. 一校一策不是拖延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先把政策口径说清楚。学校要增强供餐保障能力，自办食堂为主，这是方向。但方向落地到每所学校，会遇到空间、建设周期、周边条件、学生规模、资金安排、施工安全等具体约束。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所以一校一策不是说“这所学校可以不管”，而是说这所学校必须有自己的路径图、时间表、风险控制和沟通安排。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也就是说，校长不能只说“我们现在没条件”，而要说清楚“现在什么条件、走哪条路径、什么时候完成、过渡期怎么保证安全和合规”。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对。讲得清路径，才叫一校一策；讲不清路径，就容易变成被动应付。</w:t>
      </w:r>
    </w:p>
    <w:p>
      <w:r>
        <w:rPr>
          <w:rFonts w:ascii="Microsoft YaHei" w:hAnsi="Microsoft YaHei"/>
          <w:b/>
          <w:color w:val="18355E"/>
          <w:sz w:val="23"/>
        </w:rPr>
        <w:t>04. 四类供餐路径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一般来说，学校可以从四类路径里做判断。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第一类，新建或改造校内食堂。这是最直接的路径，适合具备空间条件、改造条件和稳定用餐规模的学校。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第二类，中央厨房加校内微厨房。中央厨房负责部分前端加工，学校端通过微厨房完成复热、分餐、留样和现场记录。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第三类，主厨房辐射。一个具备条件的学校或片区厨房，为周边学校提供供餐支持，但受餐学校仍然不能丢掉确认、留样、分餐、陪餐和反馈责任。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第四类，净菜加微厨房。通过规范净菜供应和校内加工能力结合，解决一些空间不足学校的过渡问题。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这四类路径听起来都不是简单“有没有食堂”的二选一，而是根据学校条件组合出可落地方案。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是的。但无论哪条路径，目标都不能变：安全、营养、合规。</w:t>
      </w:r>
    </w:p>
    <w:p>
      <w:r>
        <w:rPr>
          <w:rFonts w:ascii="Microsoft YaHei" w:hAnsi="Microsoft YaHei"/>
          <w:b/>
          <w:color w:val="18355E"/>
          <w:sz w:val="23"/>
        </w:rPr>
        <w:t>05. 五维路径评估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本讲的核心工具，是一张“一校一策路径评估表”。这张表不从“哪个方案看起来方便”开始，而从五个管理维度开始。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第一，经费监管。建设、改造、设备、运维、人员和过渡期服务成本能不能说清楚。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第二，食材采购。食材来源、供应链半径、配送时效、验收责任能不能说清楚。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第三，食品安全。加工地点、运输温控、校内分餐、留样、洗消和废弃物处理能不能形成记录。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第四，营养膳食。食谱能不能审核，年龄段适配、菜品结构和实际摄入反馈能不能进入复盘。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第五，家校共治。家长能不能看见供餐路径、过渡安排、监督入口和问题回告。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这样评估就不只是看“哪种方式便宜”或者“哪种方式快”，而是看这条路径能不能支撑学校的治理责任。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对。价格高低只是成本问题，能不能安全、营养、合规地运行，才是校长要判断的治理问题。</w:t>
      </w:r>
    </w:p>
    <w:p>
      <w:r>
        <w:rPr>
          <w:rFonts w:ascii="Microsoft YaHei" w:hAnsi="Microsoft YaHei"/>
          <w:b/>
          <w:color w:val="18355E"/>
          <w:sz w:val="23"/>
        </w:rPr>
        <w:t>06. 过渡期三件事不能丢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如果学校正在建设或改造，过渡期是不是风险最大？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是。过渡期最容易出现三个丢失。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第一，学校确认权丢失。供餐来自外部，不等于学校不用确认食谱、配送、留样、分餐和反馈。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第二，现场记录丢失。外部加工解决不了校内分餐、实际供应、剩余量、陪餐、留样和异常记录的问题。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第三，沟通口径丢失。家长最关心的是孩子吃什么、从哪里来、怎么保证安全、什么时候改善。如果学校不主动说明，家长只能从零散信息里猜。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所以过渡期不是“先凑合一下”，而是更要把确认权、现场记录和沟通口径抓住。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对。过渡期可以有临时安排，但不能有责任真空。</w:t>
      </w:r>
    </w:p>
    <w:p>
      <w:r>
        <w:rPr>
          <w:rFonts w:ascii="Microsoft YaHei" w:hAnsi="Microsoft YaHei"/>
          <w:b/>
          <w:color w:val="18355E"/>
          <w:sz w:val="23"/>
        </w:rPr>
        <w:t>07. 建设推进台账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一校一策还必须落成建设推进台账。没有台账，路径就停留在口头。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这张台账至少包含四列：节点、责任人、风险、沟通。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节点，是什么时候完成方案、设计、施工、设备、验收、试运行。责任人，是每个节点谁推进、谁审核、谁协调。风险，是施工安全、供餐衔接、资金安排、家长反馈等风险有没有预案。沟通，是哪些节点需要向教师、家长和主管部门说明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这就把“我们正在推进”变成“推进到哪一步、谁负责、风险在哪里、什么时候告诉家长”。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对。校长要看的不是工程细节，而是节点和风险是不是被管理起来。</w:t>
      </w:r>
    </w:p>
    <w:p>
      <w:r>
        <w:rPr>
          <w:rFonts w:ascii="Microsoft YaHei" w:hAnsi="Microsoft YaHei"/>
          <w:b/>
          <w:color w:val="18355E"/>
          <w:sz w:val="23"/>
        </w:rPr>
        <w:t>08. 家长怎么沟通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过渡期家长沟通怎么讲比较稳？有些话说得太满，后面做不到；说得太少，家长又不放心。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建议讲三件事。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第一，讲路径。学校选择哪条路径，为什么适合本校，现在处在哪个阶段。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第二，讲风险控制。食材来源、加工地点、配送温控、校内分餐、留样陪餐、反馈入口，这些怎么做。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第三，讲时间表。哪些事项已经完成，哪些正在推进，下一次向家长更新的时间是什么。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这不是做宣传，而是把安全、营养、合规的证据主动摆出来。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是的。家校共治不是让家长替学校管理后厨，而是让家长看得见、问得到、有反馈、有回告。</w:t>
      </w:r>
    </w:p>
    <w:p>
      <w:r>
        <w:rPr>
          <w:rFonts w:ascii="Microsoft YaHei" w:hAnsi="Microsoft YaHei"/>
          <w:b/>
          <w:color w:val="18355E"/>
          <w:sz w:val="23"/>
        </w:rPr>
        <w:t>09. 回校先做三件事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第3讲结束后，校长回校先做三件事。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第一，做一张一校一策路径评估表。不要先定方案，先按经费监管、食材采购、食品安全、营养膳食、家校共治五个维度评估。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第二，做一张过渡期风险清单。重点看学校确认权、现场记录和沟通口径有没有丢。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第三，做一张建设推进台账。把节点、责任人、风险和沟通安排写清楚。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这一讲我带走的是：没有完整食堂，不等于没有责任；一校一策，不是拖延，而是把路径、风险和时间表说清楚。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对。下一讲我们再看另一个容易混淆的问题：学校自办食堂为主，是不是所有服务都必须学校自己做？第三方服务到底边界在哪里？</w:t>
      </w:r>
    </w:p>
    <w:p>
      <w:pPr>
        <w:pStyle w:val="Heading1"/>
      </w:pPr>
      <w:r>
        <w:rPr>
          <w:rFonts w:ascii="Microsoft YaHei" w:hAnsi="Microsoft YaHei"/>
        </w:rPr>
        <w:t>行动卡</w:t>
      </w:r>
    </w:p>
    <w:p>
      <w:pPr>
        <w:pStyle w:val="ListNumber"/>
        <w:ind w:left="360"/>
      </w:pPr>
      <w:r>
        <w:t>评估路径：按经费监管、食材采购、食品安全、营养膳食、家校共治五个维度比较方案。</w:t>
      </w:r>
    </w:p>
    <w:p>
      <w:pPr>
        <w:pStyle w:val="ListNumber"/>
        <w:ind w:left="360"/>
      </w:pPr>
      <w:r>
        <w:t>守住过渡：学校确认权、现场记录、沟通口径不能丢。</w:t>
      </w:r>
    </w:p>
    <w:p>
      <w:pPr>
        <w:pStyle w:val="ListNumber"/>
        <w:ind w:left="360"/>
      </w:pPr>
      <w:r>
        <w:t>建立台账：节点、责任人、风险、沟通安排写清楚。</w:t>
      </w:r>
    </w:p>
    <w:sectPr w:rsidR="00FC693F" w:rsidRPr="0006063C" w:rsidSect="00034616">
      <w:pgSz w:w="12240" w:h="15840"/>
      <w:pgMar w:top="1152" w:right="1224" w:bottom="1008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Microsoft YaHei" w:hAnsi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