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第04讲 新型自营与专业服务边界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自营是不是学校全包，第三方还能不能用？</w:t>
      </w:r>
    </w:p>
    <w:p>
      <w:pPr>
        <w:pStyle w:val="ListBullet"/>
        <w:ind w:left="360"/>
      </w:pPr>
      <w:r>
        <w:t>只讲新型自营识别、权力回收和第三方服务边界，不讲日常采购验收细则。</w:t>
      </w:r>
    </w:p>
    <w:p>
      <w:pPr>
        <w:pStyle w:val="ListBullet"/>
        <w:ind w:left="360"/>
      </w:pPr>
      <w:r>
        <w:t>工具：权力回收清单 + 服务边界清单</w:t>
      </w:r>
    </w:p>
    <w:p>
      <w:pPr>
        <w:pStyle w:val="ListBullet"/>
        <w:ind w:left="360"/>
      </w:pPr>
      <w:r>
        <w:t>核心模型：权力不能外包，服务可以购买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新型自营与专业服务边界</w:t>
            </w:r>
          </w:p>
        </w:tc>
        <w:tc>
          <w:tcPr>
            <w:tcW w:type="dxa" w:w="2448"/>
          </w:tcPr>
          <w:p>
            <w:r>
              <w:t>标题 + 边界判断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陈校长的合同困惑</w:t>
            </w:r>
          </w:p>
        </w:tc>
        <w:tc>
          <w:tcPr>
            <w:tcW w:type="dxa" w:w="2448"/>
          </w:tcPr>
          <w:p>
            <w:r>
              <w:t>承包换名、人员不变、系统不变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新型自营看实控权</w:t>
            </w:r>
          </w:p>
        </w:tc>
        <w:tc>
          <w:tcPr>
            <w:tcW w:type="dxa" w:w="2448"/>
          </w:tcPr>
          <w:p>
            <w:r>
              <w:t>不看合同名称，看谁掌权</w:t>
            </w:r>
          </w:p>
        </w:tc>
        <w:tc>
          <w:tcPr>
            <w:tcW w:type="dxa" w:w="2448"/>
          </w:tcPr>
          <w:p>
            <w:r>
              <w:t>风险本质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六个关键权力</w:t>
            </w:r>
          </w:p>
        </w:tc>
        <w:tc>
          <w:tcPr>
            <w:tcW w:type="dxa" w:w="2448"/>
          </w:tcPr>
          <w:p>
            <w:r>
              <w:t>模式、规则、验收、公开、责任、整改</w:t>
            </w:r>
          </w:p>
        </w:tc>
        <w:tc>
          <w:tcPr>
            <w:tcW w:type="dxa" w:w="2448"/>
          </w:tcPr>
          <w:p>
            <w:r>
              <w:t>主模型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三类第三方服务</w:t>
            </w:r>
          </w:p>
        </w:tc>
        <w:tc>
          <w:tcPr>
            <w:tcW w:type="dxa" w:w="2448"/>
          </w:tcPr>
          <w:p>
            <w:r>
              <w:t>可购买、需强约束、不能外放</w:t>
            </w:r>
          </w:p>
        </w:tc>
        <w:tc>
          <w:tcPr>
            <w:tcW w:type="dxa" w:w="2448"/>
          </w:tcPr>
          <w:p>
            <w:r>
              <w:t>服务分类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合同红线</w:t>
            </w:r>
          </w:p>
        </w:tc>
        <w:tc>
          <w:tcPr>
            <w:tcW w:type="dxa" w:w="2448"/>
          </w:tcPr>
          <w:p>
            <w:r>
              <w:t>采购、验收、定价、公开、应急、整改</w:t>
            </w:r>
          </w:p>
        </w:tc>
        <w:tc>
          <w:tcPr>
            <w:tcW w:type="dxa" w:w="2448"/>
          </w:tcPr>
          <w:p>
            <w:r>
              <w:t>边界清单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换马甲识别信号</w:t>
            </w:r>
          </w:p>
        </w:tc>
        <w:tc>
          <w:tcPr>
            <w:tcW w:type="dxa" w:w="2448"/>
          </w:tcPr>
          <w:p>
            <w:r>
              <w:t>名称变了，实控没变</w:t>
            </w:r>
          </w:p>
        </w:tc>
        <w:tc>
          <w:tcPr>
            <w:tcW w:type="dxa" w:w="2448"/>
          </w:tcPr>
          <w:p>
            <w:r>
              <w:t>识别方法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转型风险台账</w:t>
            </w:r>
          </w:p>
        </w:tc>
        <w:tc>
          <w:tcPr>
            <w:tcW w:type="dxa" w:w="2448"/>
          </w:tcPr>
          <w:p>
            <w:r>
              <w:t>过渡期风险、责任、时间表</w:t>
            </w:r>
          </w:p>
        </w:tc>
        <w:tc>
          <w:tcPr>
            <w:tcW w:type="dxa" w:w="2448"/>
          </w:tcPr>
          <w:p>
            <w:r>
              <w:t>风险控制</w:t>
            </w:r>
          </w:p>
        </w:tc>
      </w:tr>
      <w:tr>
        <w:tc>
          <w:tcPr>
            <w:tcW w:type="dxa" w:w="2448"/>
          </w:tcPr>
          <w:p>
            <w:r>
              <w:t>9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回收权力、划清服务、核查合同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前两讲我们讲了第一责任怎么抓，也讲了一校一策怎么补课。到了第四讲，校长最容易碰到一个现实问题：学校说自己是“新型自营”，但实际看起来还是原来那套人、那套系统、那套操作。那这到底算不算自营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这一讲只解决一个判断：新型自营不是看合同名字，而是看学校有没有把实控权握在自己手里。</w:t>
      </w:r>
    </w:p>
    <w:p>
      <w:r>
        <w:rPr>
          <w:rFonts w:ascii="Microsoft YaHei" w:hAnsi="Microsoft YaHei"/>
          <w:b/>
          <w:color w:val="18355E"/>
          <w:sz w:val="23"/>
        </w:rPr>
        <w:t>02. 陈校长的合同困惑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赵老师，这个问题我特别想问清楚。有的学校把原来的承包合同改了个名字，供应商还是原来那家，人员还是原来那批，系统还是原来那套。文件上看起来变了，实际运行好像没变。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那校长到底怎么判断？是不是只要挂上“自营”两个字，就算完成改革了？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当然不是。名称只是表面，真正要看的是实控权在谁手里。谁决定供餐方式，谁决定采购规则，谁确认验收，谁公开经费，谁负责人员责任，谁处理投诉和应急整改，这些权力如果还在企业手里，就不能叫真正的新型自营。</w:t>
      </w:r>
    </w:p>
    <w:p>
      <w:r>
        <w:rPr>
          <w:rFonts w:ascii="Microsoft YaHei" w:hAnsi="Microsoft YaHei"/>
          <w:b/>
          <w:color w:val="18355E"/>
          <w:sz w:val="23"/>
        </w:rPr>
        <w:t>03. 新型自营看实控权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新型自营的关键，不是学校把所有活都自己干，而是学校必须掌握关键权力。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校长要看的不是“谁干活”，而是“谁说了算”。供应商可以干专业服务，员工可以按合同提供支撑，但学校不能把决定权、确认权和追责权一起外包出去。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也就是说，服务可以购买，权力不能外包。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对，这就是本讲的核心句。</w:t>
      </w:r>
    </w:p>
    <w:p>
      <w:r>
        <w:rPr>
          <w:rFonts w:ascii="Microsoft YaHei" w:hAnsi="Microsoft YaHei"/>
          <w:b/>
          <w:color w:val="18355E"/>
          <w:sz w:val="23"/>
        </w:rPr>
        <w:t>04. 六个关键权力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要识别实控权，先看六个关键权力。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第一，供餐模式决定权。是自办、改造、联合、过渡，学校必须能决定。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第二，采购规则决定权。采购从食谱出发，还是从供应商报价倒推，学校必须能定。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第三，验收确认权。食材到校后，数量、质量、温度、票证、批次是不是学校确认，不是企业自己说了算。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第四，经费公开权。钱花到哪里去，学校必须能说清楚，不能只靠企业解释。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第五，人员责任权。校内谁负责、谁配合、谁签字、谁追整改，必须由学校体系决定。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第六，投诉和应急整改权。出现投诉、风险、舆情和整改，学校必须掌握最后调度权。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这样一拆，校长就知道该收什么、抓什么、不能放什么。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对。新型自营不是把学校变成后厨，而是把关键权力收回来。</w:t>
      </w:r>
    </w:p>
    <w:p>
      <w:r>
        <w:rPr>
          <w:rFonts w:ascii="Microsoft YaHei" w:hAnsi="Microsoft YaHei"/>
          <w:b/>
          <w:color w:val="18355E"/>
          <w:sz w:val="23"/>
        </w:rPr>
        <w:t>05. 三类第三方服务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但学校也不可能什么都自己做。第三方服务到底怎么用才合理？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可以分成三类。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第一类，可购买的服务。比如设备维保、信息系统支撑、专业培训、清洗消杀等，学校可以买服务，但不能把实控权一起买出去。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第二类，需强约束的服务。比如配送、净菜加工、驻场协助、技术支撑，这些会直接影响供餐结果，必须用清晰规则、考核指标和现场确认来约束。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第三类，不能外放的权力。采购确认、验收确认、定价确认、公开确认、应急处置和整改销号，这些必须留在学校治理体系内。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这样看，第三方可以帮忙，但不能替学校做判断。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对。服务可以借力，责任不能借走。</w:t>
      </w:r>
    </w:p>
    <w:p>
      <w:r>
        <w:rPr>
          <w:rFonts w:ascii="Microsoft YaHei" w:hAnsi="Microsoft YaHei"/>
          <w:b/>
          <w:color w:val="18355E"/>
          <w:sz w:val="23"/>
        </w:rPr>
        <w:t>06. 合同红线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合同写得再完整，只要踩了红线，实控权还是在企业手里。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红线至少有六条：采购不能外放，验收不能外放，定价不能外放，公开不能外放，应急不能外放，整改不能外放。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也就是说，合同不是把责任写得多好看，而是要确保学校的确认权和追问权没有被切走。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对。合同是工具，不是责任替身。</w:t>
      </w:r>
    </w:p>
    <w:p>
      <w:r>
        <w:rPr>
          <w:rFonts w:ascii="Microsoft YaHei" w:hAnsi="Microsoft YaHei"/>
          <w:b/>
          <w:color w:val="18355E"/>
          <w:sz w:val="23"/>
        </w:rPr>
        <w:t>07. 换马甲识别信号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那怎么判断是不是“换了个马甲”？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看几个信号。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第一，名称变了，但人员、系统和流程都没变。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第二，学校看起来签了很多字，但都是事后确认，前端规则还是企业在定。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第三，采购、验收、公开、整改这些关键环节，学校只是盖章，没有追问证据。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第四，出了问题先找企业解释，学校反而说不清自己抓了什么。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这几个信号很实用。不是看文件标题，而是看学校有没有真把权力收回来。</w:t>
      </w:r>
    </w:p>
    <w:p>
      <w:r>
        <w:rPr>
          <w:rFonts w:ascii="Microsoft YaHei" w:hAnsi="Microsoft YaHei"/>
          <w:b/>
          <w:color w:val="18355E"/>
          <w:sz w:val="23"/>
        </w:rPr>
        <w:t>08. 转型风险台账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从旧模式转向新型自营，不能只换一纸合同，还要有转型风险台账。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台账至少要列四项：风险是什么、谁负责、多久完成、怎么沟通。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比如，历史合同怎么处理、老系统怎么切换、原有人员怎么调整、过渡期供餐怎么衔接、家长怎么说明，这些都不能只写“待定”。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这样就把转型从“理念上支持”变成“过程上可管理”。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对。转型不是口号，转型是治理动作。</w:t>
      </w:r>
    </w:p>
    <w:p>
      <w:r>
        <w:rPr>
          <w:rFonts w:ascii="Microsoft YaHei" w:hAnsi="Microsoft YaHei"/>
          <w:b/>
          <w:color w:val="18355E"/>
          <w:sz w:val="23"/>
        </w:rPr>
        <w:t>09.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第4讲结束后，校长回校先做三件事。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第一，做一张权力回收清单。把供餐模式、采购规则、验收确认、经费公开、人员责任、投诉应急整改六项权力列出来，逐项确认在谁手里。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第二，做一张服务边界清单。把能购买、需强约束、不能外放三类服务分清楚。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第三，做一次合同核查。重点看采购、验收、定价、公开、应急、整改六条红线有没有被企业实控。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这一讲我带走的不是合同条款，而是一个判断标准：权力不能外包，服务可以购买。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对。下一讲我们讲组织架构和膳食委员会，看看这些权力回收以后，学校内部怎么真正运转起来。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查权力：模式、采购规则、验收确认、经费公开、人员责任、投诉应急整改六项权力在谁手里。</w:t>
      </w:r>
    </w:p>
    <w:p>
      <w:pPr>
        <w:pStyle w:val="ListNumber"/>
        <w:ind w:left="360"/>
      </w:pPr>
      <w:r>
        <w:t>划边界：把可购买、需强约束、不能外放三类服务分清。</w:t>
      </w:r>
    </w:p>
    <w:p>
      <w:pPr>
        <w:pStyle w:val="ListNumber"/>
        <w:ind w:left="360"/>
      </w:pPr>
      <w:r>
        <w:t>看红线：采购、验收、定价、公开、应急、整改六条红线逐项核查。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